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3D" w:rsidRPr="00B205E9" w:rsidRDefault="001335D1" w:rsidP="001335D1">
      <w:pPr>
        <w:spacing w:after="0" w:line="240" w:lineRule="auto"/>
        <w:rPr>
          <w:sz w:val="24"/>
          <w:szCs w:val="24"/>
        </w:rPr>
      </w:pPr>
      <w:r w:rsidRPr="00B205E9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D47B3D" w:rsidRPr="00B205E9">
        <w:rPr>
          <w:sz w:val="24"/>
          <w:szCs w:val="24"/>
        </w:rPr>
        <w:t>PATVIRTINTA</w:t>
      </w:r>
    </w:p>
    <w:p w:rsidR="00D47B3D" w:rsidRPr="00B205E9" w:rsidRDefault="001335D1" w:rsidP="001335D1">
      <w:pPr>
        <w:spacing w:after="0" w:line="240" w:lineRule="auto"/>
        <w:rPr>
          <w:sz w:val="24"/>
          <w:szCs w:val="24"/>
        </w:rPr>
      </w:pPr>
      <w:r w:rsidRPr="00B205E9">
        <w:rPr>
          <w:sz w:val="24"/>
          <w:szCs w:val="24"/>
        </w:rPr>
        <w:t xml:space="preserve">                                                                                                                      Gimnazijos direktoriaus</w:t>
      </w:r>
    </w:p>
    <w:p w:rsidR="001335D1" w:rsidRPr="00B205E9" w:rsidRDefault="001335D1" w:rsidP="001335D1">
      <w:pPr>
        <w:spacing w:after="0" w:line="240" w:lineRule="auto"/>
        <w:rPr>
          <w:sz w:val="24"/>
          <w:szCs w:val="24"/>
        </w:rPr>
      </w:pPr>
      <w:r w:rsidRPr="00B205E9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B205E9" w:rsidRPr="00B205E9">
        <w:rPr>
          <w:sz w:val="24"/>
          <w:szCs w:val="24"/>
        </w:rPr>
        <w:t xml:space="preserve">    2021 m. balandžio 9</w:t>
      </w:r>
      <w:r w:rsidR="00D47B3D" w:rsidRPr="00B205E9">
        <w:rPr>
          <w:sz w:val="24"/>
          <w:szCs w:val="24"/>
        </w:rPr>
        <w:t xml:space="preserve"> d.</w:t>
      </w:r>
    </w:p>
    <w:p w:rsidR="00D47B3D" w:rsidRPr="00B205E9" w:rsidRDefault="001335D1" w:rsidP="001335D1">
      <w:pPr>
        <w:spacing w:after="0" w:line="240" w:lineRule="auto"/>
        <w:rPr>
          <w:sz w:val="24"/>
          <w:szCs w:val="24"/>
        </w:rPr>
      </w:pPr>
      <w:r w:rsidRPr="00B205E9">
        <w:rPr>
          <w:sz w:val="24"/>
          <w:szCs w:val="24"/>
        </w:rPr>
        <w:t xml:space="preserve">                                                                                                                      įsakymu Nr. V - </w:t>
      </w:r>
      <w:r w:rsidR="00ED5A0D">
        <w:rPr>
          <w:sz w:val="24"/>
          <w:szCs w:val="24"/>
        </w:rPr>
        <w:t>123</w:t>
      </w:r>
      <w:bookmarkStart w:id="0" w:name="_GoBack"/>
      <w:bookmarkEnd w:id="0"/>
    </w:p>
    <w:p w:rsidR="001335D1" w:rsidRPr="00B205E9" w:rsidRDefault="001335D1" w:rsidP="00D47B3D">
      <w:pPr>
        <w:rPr>
          <w:sz w:val="24"/>
          <w:szCs w:val="24"/>
        </w:rPr>
      </w:pPr>
    </w:p>
    <w:p w:rsidR="00D47B3D" w:rsidRPr="00B205E9" w:rsidRDefault="001335D1" w:rsidP="001335D1">
      <w:pPr>
        <w:jc w:val="center"/>
        <w:rPr>
          <w:b/>
          <w:sz w:val="24"/>
          <w:szCs w:val="24"/>
        </w:rPr>
      </w:pPr>
      <w:r w:rsidRPr="00B205E9">
        <w:rPr>
          <w:b/>
          <w:sz w:val="24"/>
          <w:szCs w:val="24"/>
        </w:rPr>
        <w:t xml:space="preserve">PAGĖGIŲ SAV. VILKYŠKIŲ JOHANESO BOBROVSKIO GIMNAZIJOS </w:t>
      </w:r>
      <w:r w:rsidR="00D47B3D" w:rsidRPr="00B205E9">
        <w:rPr>
          <w:b/>
          <w:sz w:val="24"/>
          <w:szCs w:val="24"/>
        </w:rPr>
        <w:t>LYGIŲ GALIMYBIŲ POLITIKOS ĮGYVENDINIMO IR VYKDYMO PRIEŽIŪROS</w:t>
      </w:r>
      <w:r w:rsidRPr="00B205E9">
        <w:rPr>
          <w:b/>
          <w:sz w:val="24"/>
          <w:szCs w:val="24"/>
        </w:rPr>
        <w:t xml:space="preserve"> </w:t>
      </w:r>
      <w:r w:rsidR="00D47B3D" w:rsidRPr="00B205E9">
        <w:rPr>
          <w:b/>
          <w:sz w:val="24"/>
          <w:szCs w:val="24"/>
        </w:rPr>
        <w:t>PRINCIPŲ ĮGYVENDINIMO TVARKOS APRAŠAS</w:t>
      </w:r>
    </w:p>
    <w:p w:rsidR="00D47B3D" w:rsidRPr="00B205E9" w:rsidRDefault="00D47B3D" w:rsidP="001335D1">
      <w:pPr>
        <w:jc w:val="center"/>
        <w:rPr>
          <w:b/>
          <w:sz w:val="24"/>
          <w:szCs w:val="24"/>
        </w:rPr>
      </w:pPr>
      <w:r w:rsidRPr="00B205E9">
        <w:rPr>
          <w:b/>
          <w:sz w:val="24"/>
          <w:szCs w:val="24"/>
        </w:rPr>
        <w:t>I. SKYRIUS</w:t>
      </w:r>
    </w:p>
    <w:p w:rsidR="00D47B3D" w:rsidRPr="00B205E9" w:rsidRDefault="00D47B3D" w:rsidP="001335D1">
      <w:pPr>
        <w:jc w:val="center"/>
        <w:rPr>
          <w:b/>
          <w:sz w:val="24"/>
          <w:szCs w:val="24"/>
        </w:rPr>
      </w:pPr>
      <w:r w:rsidRPr="00B205E9">
        <w:rPr>
          <w:b/>
          <w:sz w:val="24"/>
          <w:szCs w:val="24"/>
        </w:rPr>
        <w:t>BENDROSIOS NUOSTATOS IR SĄVOKOS</w:t>
      </w:r>
    </w:p>
    <w:p w:rsidR="00D47B3D" w:rsidRPr="00B205E9" w:rsidRDefault="004026D2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 xml:space="preserve">1. Pagėgių sav. Vilkyškių </w:t>
      </w:r>
      <w:proofErr w:type="spellStart"/>
      <w:r w:rsidRPr="00B205E9">
        <w:rPr>
          <w:sz w:val="24"/>
          <w:szCs w:val="24"/>
        </w:rPr>
        <w:t>Johaneso</w:t>
      </w:r>
      <w:proofErr w:type="spellEnd"/>
      <w:r w:rsidRPr="00B205E9">
        <w:rPr>
          <w:sz w:val="24"/>
          <w:szCs w:val="24"/>
        </w:rPr>
        <w:t xml:space="preserve"> </w:t>
      </w:r>
      <w:proofErr w:type="spellStart"/>
      <w:r w:rsidRPr="00B205E9">
        <w:rPr>
          <w:sz w:val="24"/>
          <w:szCs w:val="24"/>
        </w:rPr>
        <w:t>Bobrovskio</w:t>
      </w:r>
      <w:proofErr w:type="spellEnd"/>
      <w:r w:rsidRPr="00B205E9">
        <w:rPr>
          <w:sz w:val="24"/>
          <w:szCs w:val="24"/>
        </w:rPr>
        <w:t xml:space="preserve"> gimnazijos (toliau – Gimnazijos</w:t>
      </w:r>
      <w:r w:rsidR="00D47B3D" w:rsidRPr="00B205E9">
        <w:rPr>
          <w:sz w:val="24"/>
          <w:szCs w:val="24"/>
        </w:rPr>
        <w:t>) lygių galimybių</w:t>
      </w:r>
      <w:r w:rsidRPr="00B205E9">
        <w:rPr>
          <w:sz w:val="24"/>
          <w:szCs w:val="24"/>
        </w:rPr>
        <w:t xml:space="preserve"> </w:t>
      </w:r>
      <w:r w:rsidR="00D47B3D" w:rsidRPr="00B205E9">
        <w:rPr>
          <w:sz w:val="24"/>
          <w:szCs w:val="24"/>
        </w:rPr>
        <w:t>politikos įgyvendinimo ir vykdymo priežiūros principų įgyvendinimo tvarkos aprašas (toliau –</w:t>
      </w:r>
      <w:r w:rsidRPr="00B205E9">
        <w:rPr>
          <w:sz w:val="24"/>
          <w:szCs w:val="24"/>
        </w:rPr>
        <w:t xml:space="preserve"> </w:t>
      </w:r>
      <w:r w:rsidR="00D47B3D" w:rsidRPr="00B205E9">
        <w:rPr>
          <w:sz w:val="24"/>
          <w:szCs w:val="24"/>
        </w:rPr>
        <w:t>Aprašas) n</w:t>
      </w:r>
      <w:r w:rsidRPr="00B205E9">
        <w:rPr>
          <w:sz w:val="24"/>
          <w:szCs w:val="24"/>
        </w:rPr>
        <w:t>ustato lygių galimybių Gimnazijoje</w:t>
      </w:r>
      <w:r w:rsidR="00D47B3D" w:rsidRPr="00B205E9">
        <w:rPr>
          <w:sz w:val="24"/>
          <w:szCs w:val="24"/>
        </w:rPr>
        <w:t xml:space="preserve"> principus ir jų įgyvendinimo darbe sąlygas bei tvarką.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2. Šio Aprašo tikslas yra užtikrinti, kad su jau esamais darbuotojais ar besikreipiančiais dėl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darbo asmenimis būtų elgiamasi vadovaujantis bei įgyvendinant lyčių lygybės ir nediskriminavimo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principus.</w:t>
      </w:r>
    </w:p>
    <w:p w:rsidR="004026D2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3. Apraše vartojamos sąvokos: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3.1. lygios galimybės – tarptautiniuose žmogaus ir piliečių teisių dokumentuose ir Lietuvos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Respublikos įstatymuose įtvirtintų žmogaus teisių įgyvendinimas nepaisant lyties, rasės, tautybės,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kalbos, kilmės, socialinės padėties, tikėjimo, įsitikinimų ar pažiūrų, amžiaus, lytinės orientacijos,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negalios, etninės priklausomybės, religijos;</w:t>
      </w:r>
    </w:p>
    <w:p w:rsidR="00D47B3D" w:rsidRPr="00B205E9" w:rsidRDefault="004026D2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3.2. D</w:t>
      </w:r>
      <w:r w:rsidR="00D47B3D" w:rsidRPr="00B205E9">
        <w:rPr>
          <w:sz w:val="24"/>
          <w:szCs w:val="24"/>
        </w:rPr>
        <w:t>iskriminacija – tiesioginė ir netiesioginė diskriminacija, priekabiavimas, nurodymas</w:t>
      </w:r>
      <w:r w:rsidRPr="00B205E9">
        <w:rPr>
          <w:sz w:val="24"/>
          <w:szCs w:val="24"/>
        </w:rPr>
        <w:t xml:space="preserve"> </w:t>
      </w:r>
      <w:r w:rsidR="00D47B3D" w:rsidRPr="00B205E9">
        <w:rPr>
          <w:sz w:val="24"/>
          <w:szCs w:val="24"/>
        </w:rPr>
        <w:t>diskriminuoti lyties, rasės, tautybės, kalbos, kilmės, socialinės padėties, tikėjimo, įsitikinimų ar</w:t>
      </w:r>
      <w:r w:rsidRPr="00B205E9">
        <w:rPr>
          <w:sz w:val="24"/>
          <w:szCs w:val="24"/>
        </w:rPr>
        <w:t xml:space="preserve"> </w:t>
      </w:r>
      <w:r w:rsidR="00D47B3D" w:rsidRPr="00B205E9">
        <w:rPr>
          <w:sz w:val="24"/>
          <w:szCs w:val="24"/>
        </w:rPr>
        <w:t>pažiūrų, amžiaus, lytinės orientacijos, negalios, etninės priklausomybės, religijos pagrindu;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3.3. netiesioginė diskriminacija – veikimas ar neveikimas, teisės norma ar vertinimo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kriterijus, akivaizdžiai neutrali sąlyga ar praktika, kurie formaliai yra vienodi, bet juos įgyvendinant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ar pritaikant atsiranda ar gali atsirasti faktinis naudojimosi apribojimas arba privilegija, pirmenybės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ar pranašumo teikimas lyties, rasės, tautybės, kalbos, kilmės, socialinės padėties, tikėjimo,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įsitikinimų ar pažiūrų, amžiaus, lytinės orientacijos, negalios, etninės priklausomybės, religijos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pagrindu, nebent šį veikimą ar neveikimą, teisės normą ar vertinimo kriterijų, sąlygą ar praktiką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pateisina teisėtas tikslas, o šio tikslo siekiama tinkamomis ir būtinomis priemonėmis;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3.4. tiesioginė diskriminacija – elgesys su asmeniu, kai lyties, rasės, tautybės, kalbos,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kilmės, socialinės padėties, tikėjimo, įsitikinimų ar pažiūrų, amžiaus, lytinės orientacijos, negalios,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etninės priklausomybės, religijos pagrindu jam taikomos mažiau palankios sąlygos, negu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panašiomis aplinkybėmis yra, buvo ar būtų taikomos kitam asmeniui, išskyrus: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3.4.1. įstatymų nustatytus apribojimus dėl amžiaus;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3.4.2. įstatymų nustatytą reikalavimą mokėti valstybinę kalbą;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3.4.3. įstatymų nustatytais atvejais draudimą dalyvauti politinėje veikloje;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lastRenderedPageBreak/>
        <w:t>3.4.4. kai dėl konkrečių profesinės veiklos vykdymo sąlygų tam tikra žmogaus savybė yra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esminis ir lemiamas profesinis reikalavimas;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3.4.5. teisės aktų nustatytas specialias priemones sveikatos apsaugos, darbo saugos sąlygas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bei galimybes;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3.5. priekabiavimas – nepageidaujamas elgesys, kai lyties, rasės, tautybės, kalbos, kilmės,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socialinės padėties, tikėjimo, įsitikinimų ar pažiūrų, amžiaus, lytinės orientacijos, negalios, etninės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priklausomybės, religijos pagrindu siekiama įžeisti arba įžeidžiamas asmens orumas ir siekiama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sukurti arba sukuriama bauginanti, priešiška, žeminanti ar įžeidžianti aplinka;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3.6. socialinė padėtis – fizinio asmens įgytas išsilavinimas, kvalifikacija ar mokymasis ir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studijos, turima nuosavybė, gaunamos pajamos ir (arba) kiti su asmens finansine (ekonomine)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padėtimi susiję veiksniai.</w:t>
      </w:r>
    </w:p>
    <w:p w:rsidR="00D47B3D" w:rsidRPr="00B205E9" w:rsidRDefault="00D47B3D" w:rsidP="004026D2">
      <w:pPr>
        <w:jc w:val="center"/>
        <w:rPr>
          <w:b/>
          <w:sz w:val="24"/>
          <w:szCs w:val="24"/>
        </w:rPr>
      </w:pPr>
      <w:r w:rsidRPr="00B205E9">
        <w:rPr>
          <w:b/>
          <w:sz w:val="24"/>
          <w:szCs w:val="24"/>
        </w:rPr>
        <w:t>II. SKYRIUS</w:t>
      </w:r>
    </w:p>
    <w:p w:rsidR="00D47B3D" w:rsidRPr="00B205E9" w:rsidRDefault="00D47B3D" w:rsidP="004026D2">
      <w:pPr>
        <w:jc w:val="center"/>
        <w:rPr>
          <w:b/>
          <w:sz w:val="24"/>
          <w:szCs w:val="24"/>
        </w:rPr>
      </w:pPr>
      <w:r w:rsidRPr="00B205E9">
        <w:rPr>
          <w:b/>
          <w:sz w:val="24"/>
          <w:szCs w:val="24"/>
        </w:rPr>
        <w:t>LYGIŲ GALIMYBIŲ POLITIKOS ĮGYVENDINIMO PRINCIPAI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4. Visiems darbuotojams suteikiamos vienodos galimybės darbo metu. Įdarbinimas ir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įdarbinimo eiga yra nustatomi tik pagal asmens dalykines savybes ir kriterijus, susijusius su darbu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einant atitinkamas pareigas. Visais atvejais pagrindinis dėmesys yra skiriamas sugebėjimui gerai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atlikti darbą.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5. Mokykla organizuoja darbą taip, kad kiekvienas darbuotojas jaustųsi gerbiamas bei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galėtų visiškai panaudoti savo gebėjimus.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6. Visiems darbuotojams suteikiamos galimybės mokytis, ugdyti savo gebėjimus ir siekti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profesinės pažangos, kelti savo kvalifikaciją, įgyti praktinio darbo patirties.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7. Visiems darbuotojams užtikrinamos vienodos darbo sąlygos.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8. Darbdavys ir darbuotojai privalo laikytis šios politikos, kad būtų užtikrintos lygios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galimybės ir išvengta diskriminacijos. Darbuotojai neturi diskriminuoti, priekabiauti, tyčiotis ar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gąsdinti kitų darbuotojų dėl jų lyties, rasės, tautybės, kalbos, kilmės, socialinės padėties, tikėjimo,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įsitikinimų ar pažiūrų, amžiaus, lytinės orientacijos, negalios, etninės priklausomybės, religijos, o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šie neturi jų persekioti ar imtis kitų poveikio priemonių prieš tokius darbuotojus, kurie pateikia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nepagrįstus įtarimus.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9. Mokykla užtikrina, kad neįgaliesiems būtų sudarytos sąlygos dirbti, siekti karjeros arba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mokytis, įskaitant tinkamą patalpų pritaikymą, jeigu dėl tokių priemonių nebus neproporcingai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pasunkinamos įstaigos pareigos.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10. Nagrinėjant lyčių lygybės ir nediskriminavimo kitais pagrindais bylas, susijusias su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darbo santykiais, darbuotojui nurodžius aplinkybes, leidžiančias daryti prielaidą, kad darbuotojas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patyrė diskriminaciją, pareiga įrodyti, kad diskriminacijos nebuvo, tenka darbdaviui.</w:t>
      </w:r>
    </w:p>
    <w:p w:rsidR="00D47B3D" w:rsidRPr="00B205E9" w:rsidRDefault="00D47B3D" w:rsidP="004026D2">
      <w:pPr>
        <w:jc w:val="center"/>
        <w:rPr>
          <w:b/>
          <w:sz w:val="24"/>
          <w:szCs w:val="24"/>
        </w:rPr>
      </w:pPr>
      <w:r w:rsidRPr="00B205E9">
        <w:rPr>
          <w:b/>
          <w:sz w:val="24"/>
          <w:szCs w:val="24"/>
        </w:rPr>
        <w:t>III. SKYRIUS</w:t>
      </w:r>
    </w:p>
    <w:p w:rsidR="00D47B3D" w:rsidRPr="00B205E9" w:rsidRDefault="00D47B3D" w:rsidP="004026D2">
      <w:pPr>
        <w:rPr>
          <w:b/>
          <w:sz w:val="24"/>
          <w:szCs w:val="24"/>
        </w:rPr>
      </w:pPr>
      <w:r w:rsidRPr="00B205E9">
        <w:rPr>
          <w:b/>
          <w:sz w:val="24"/>
          <w:szCs w:val="24"/>
        </w:rPr>
        <w:lastRenderedPageBreak/>
        <w:t>LYGIŲ GALIMYBIŲ UŽTIKRINIMAS, PRIIMANT DARBUOTOJUS Į</w:t>
      </w:r>
      <w:r w:rsidR="004026D2" w:rsidRPr="00B205E9">
        <w:rPr>
          <w:b/>
          <w:sz w:val="24"/>
          <w:szCs w:val="24"/>
        </w:rPr>
        <w:t xml:space="preserve"> </w:t>
      </w:r>
      <w:r w:rsidRPr="00B205E9">
        <w:rPr>
          <w:b/>
          <w:sz w:val="24"/>
          <w:szCs w:val="24"/>
        </w:rPr>
        <w:t>PAREIGAS IR ATLEIDŽIANT IŠ PAREIGŲ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11. Mokykloje pritariama darbuotojų įvairovei ir siekiama užtikrinti, kas su visais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siekiančiais dirbti pretendentais būtų elgiamasi sąžiningai ir kad jie į darbą būtų priimami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atsižvelgiant į sugebėjimus bei kvalifikaciją.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12. Priimant kelis darbuotojus į vienodą pareigybę taikomi vienodi atrankos kriterijai ir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sąlygos.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13. Bendrieji ir specialieji reikalavimai kiekvienai pareigybei nustatomi aiškiai ir išsamiai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aprašomi pareigybės aprašyme.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14. Skelbimai dėl pareigų užėmimo skelbiami teisės aktų nustatyta tvarka. Skelbimai apie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laisvas darbo vietas rengiami taip, kad jie nebūtų suteikiantys galimybę dalyvauti konkurse dėl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laisvos darbo vietos tik tam tikros lyties, rasės, tautybės, kalbos, kilmės, socialinės padėties,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tikėjimo, įsitikinimų ar pažiūrų, amžiaus, lytinės orientacijos, negalios, etninės priklausomybės,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religijos kandidatams.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15. Darbuotojų atranka paremta tinkamumu ir gebėjimu atlikti darbą bei informacija, gauta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iš kandidatų, siejama tik su kvalifikacija, susijusia su konkrečiai pareigybei keliamais reikalavimais.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16. Darbuotojai, dalyvaujantys atrankoje ar pokalbyje su pretendentu į laisvą darbo vietą,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yra informuoti apie atrankos kriterijus ir reikalavimą įgyvendinti lygių galimybių politiką.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Atrankoje ar pokalbyje su kandidatu dalyvauja Direktoriaus sudaryta darbuotojų atrankos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komisija.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17. Visi klausimai, užduodami kandidatams į laisvas darbo vietas, turi būti susiję tik su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 xml:space="preserve">atrankos kriterijais. Pokalbyje negalima užduoti klausimų apie kandidato lytį, amžių, lytinę 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 xml:space="preserve">orientaciją, socialinę padėtį, </w:t>
      </w:r>
      <w:proofErr w:type="spellStart"/>
      <w:r w:rsidRPr="00B205E9">
        <w:rPr>
          <w:sz w:val="24"/>
          <w:szCs w:val="24"/>
        </w:rPr>
        <w:t>įgalumą</w:t>
      </w:r>
      <w:proofErr w:type="spellEnd"/>
      <w:r w:rsidRPr="00B205E9">
        <w:rPr>
          <w:sz w:val="24"/>
          <w:szCs w:val="24"/>
        </w:rPr>
        <w:t>, rasę ar etninę priklausomybę, religiją, įsitikinimus, daryti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prielaidų apie kandidato vaidmenį namie ir šeimoje, tiek, kiek tai tiesiogiai nesusiję su Lietuvos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Respublikos darbo kodekse numatytų garantijų taikymu darbuotojui.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18. Neįgaliems kandidatams, kurie tai nurodys kreipdamiesi dėl laisvos darbo vietos, bus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sudaromos atitinkamos sąlygos pokalbių metu, kad tokiems kandidatams būtų suteikiamos lygios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galimybės su kitais kandidatais.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19. Visiems darbuotojams taikomi vienodi teisės aktuose nustatyti atleidimo iš darbo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pagrindai bei atleidimo iš darbo kriterijai, susiję su darbuotojo kvalifikacija, darbo pareigų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vykdymu bei su drausmine atsakomybe. Priimant sprendimą dėl darbuotojo atleidimo kriterijai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taikomi vienodai neatsižvelgiant į lytį, rasę, tautybę, kalbą, kilmę, socialinę padėtį, tikėjimą,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įsitikinimus ar pažiūras, amžių, lytinę orientaciją, negalią, etninę priklausomybę, religiją.</w:t>
      </w:r>
    </w:p>
    <w:p w:rsidR="00D47B3D" w:rsidRPr="00B205E9" w:rsidRDefault="00D47B3D" w:rsidP="004026D2">
      <w:pPr>
        <w:jc w:val="center"/>
        <w:rPr>
          <w:b/>
          <w:sz w:val="24"/>
          <w:szCs w:val="24"/>
        </w:rPr>
      </w:pPr>
      <w:r w:rsidRPr="00B205E9">
        <w:rPr>
          <w:b/>
          <w:sz w:val="24"/>
          <w:szCs w:val="24"/>
        </w:rPr>
        <w:t>IV. SKYRIUS</w:t>
      </w:r>
    </w:p>
    <w:p w:rsidR="00D47B3D" w:rsidRPr="00B205E9" w:rsidRDefault="00D47B3D" w:rsidP="004026D2">
      <w:pPr>
        <w:rPr>
          <w:b/>
          <w:sz w:val="24"/>
          <w:szCs w:val="24"/>
        </w:rPr>
      </w:pPr>
      <w:r w:rsidRPr="00B205E9">
        <w:rPr>
          <w:b/>
          <w:sz w:val="24"/>
          <w:szCs w:val="24"/>
        </w:rPr>
        <w:t>LYGIŲ GALIMYBIŲ UŽTIKRINIMAS, NUSTATANT DARBO UŽMOKESTĮ IR</w:t>
      </w:r>
      <w:r w:rsidR="004026D2" w:rsidRPr="00B205E9">
        <w:rPr>
          <w:b/>
          <w:sz w:val="24"/>
          <w:szCs w:val="24"/>
        </w:rPr>
        <w:t xml:space="preserve"> </w:t>
      </w:r>
      <w:r w:rsidRPr="00B205E9">
        <w:rPr>
          <w:b/>
          <w:sz w:val="24"/>
          <w:szCs w:val="24"/>
        </w:rPr>
        <w:t>SUDARANT SĄLYGAS KARJERAI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20. Mokykloje patvirtinta darbuotojų, dirbančių pagal darbo sutartis, darbo apmokėjimo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sistema.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lastRenderedPageBreak/>
        <w:t>21. Nustatant darbo užmokestį konkretiems darbuotojams vadovaujamasi kriterijais,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susijusiais su darbuotojo kvalifikacija, darbuotojui tenkančios atsakomybės laipsniu, atliekamų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darbų pobūdžiu, pasiektais rezultatais ir kitais objektyviais kriterijais, kurie nustatyti atskiruose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dokumentuose. Nustatant darbo užmokestį draudžiama atsižvelgti į darbuotojo lytį, rasę, tautybę,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kalbą, kilmę, socialinę padėtį, tikėjimą, įsitikinimus ar pažiūras, amžių, lytinę orientaciją, negalią,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etninę priklausomybę, religiją.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22. Visiems darbuotojams už tą patį ar lygiavertį darbą mokamas toks pat darbo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užmokestis, neatsižvelgiant į darbuotojo lytį, amžių, socialinę padėtį, lytinę orientaciją, negalią, rasę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ar etninę priklausomybę, religiją, įsitikinimus ar tikėjimą. Toks pat darbas reiškia atlikimą darbo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veiklos, kuri pagal objektyvius kriterijus vienoda ar panaši į kitą darbo veiklą tiek, kad abu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darbuotojai gali būti sukeisti vietomis be didesnių darbdavio sąnaudų. Lygiavertis darbas reiškia,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kad jis pagal objektyvius kriterijus yra ne mažesnės kvalifikacijos ir ne mažiau reikšmingas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darbdaviui siekiant veiklos tikslų.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23. Kriterijai, kuriais vadovaujamasi perkeliant darbuotoją į aukštesnes pareigas, susiję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išimtinai tik su darbuotojo gebėjimais ir atliekamo darbo kokybe bei pasiekimais darbinėje veikloje,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ir nė vienas darbuotojas negali būti diskriminuojamas dėl lyties, rasės, tautybės, kalbos, kilmės,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socialinės padėties, tikėjimo, įsitikinimų ar pažiūrų, amžiaus, lytinės orientacijos, negalios, etninės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priklausomybės, religijos.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24. Metinis ar kito periodo darbuotojų veiklos ir darbo rezultatų vertinimai yra atliekami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vadovaujantis ir taikant vienodus kriterijus visiems darbuotojams, neatsižvelgiant į aplinkybes,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kurios nėra susijusios su darbuotojo darbo pareigų vykdymu, profesiniais pasiekimais, asmeniniais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darbo rezultatais, darbo drausme bei atsakomybe.</w:t>
      </w:r>
    </w:p>
    <w:p w:rsidR="00D47B3D" w:rsidRPr="00B205E9" w:rsidRDefault="00D47B3D" w:rsidP="004026D2">
      <w:pPr>
        <w:jc w:val="center"/>
        <w:rPr>
          <w:b/>
          <w:sz w:val="24"/>
          <w:szCs w:val="24"/>
        </w:rPr>
      </w:pPr>
      <w:r w:rsidRPr="00B205E9">
        <w:rPr>
          <w:b/>
          <w:sz w:val="24"/>
          <w:szCs w:val="24"/>
        </w:rPr>
        <w:t>V. SKYRIUS</w:t>
      </w:r>
    </w:p>
    <w:p w:rsidR="00D47B3D" w:rsidRPr="00B205E9" w:rsidRDefault="00D47B3D" w:rsidP="004026D2">
      <w:pPr>
        <w:jc w:val="center"/>
        <w:rPr>
          <w:sz w:val="24"/>
          <w:szCs w:val="24"/>
        </w:rPr>
      </w:pPr>
      <w:r w:rsidRPr="00B205E9">
        <w:rPr>
          <w:b/>
          <w:sz w:val="24"/>
          <w:szCs w:val="24"/>
        </w:rPr>
        <w:t>DARBUOTOJŲ ŠVIETIMAS IR APSAUGA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25. Mokykloje pagal poreikį yra organizuojami susitikimai su lygių galimybių užtikrinimo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specialistais ar darbuotojų mokymai, kurie: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25.1. gerina darbuotojų supratimą apie diskriminaciją ir išankstinių nuostatų, susijusių su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lytimi, rase, tautybe, kalba, kilme, socialine padėtimi, tikėjimu, įsitikinimais ar pažiūromis,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amžiumi, lytine orientacija, negalia, etnine priklausomybe, religija, paplitimą ir kenksmingumą;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25.2. supažindina darbuotojus su diskriminacijos tiesiogine ir netiesiogine prigimtimi ir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sąlygomis, kada ji gali atsirasti ir kaip jos galima išvengti;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25.3. supažindina darbuotojus su galiojančiais teisės aktais bei jų taikymu lygių galimybių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srityje;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25.4. padeda elgtis taip, kad būtų išvengta lygių galimybių politikos ir teisės aktų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pažeidimų, taip pat suteikia žinių konfliktų sprendimo srityje.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26. Mokykla imasi priemonių, kad darbuotojas darbo vietoje nepatirtų priekabiavimo,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seksualinio priekabiavimo ir nebūtų diskriminuojamas, taip pat nebūtų persekiojamas ir būtų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apsaugotas nuo priešiško elgesio ar neigiamų pasekmių, jeigu pateikia skundą dėl diskriminacijos ar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 xml:space="preserve">kitų jo lygių </w:t>
      </w:r>
      <w:r w:rsidRPr="00B205E9">
        <w:rPr>
          <w:sz w:val="24"/>
          <w:szCs w:val="24"/>
        </w:rPr>
        <w:lastRenderedPageBreak/>
        <w:t>galimybių pažeidimo arba dalyvauja byloje dėl diskriminacijos. Bet koks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persekiojimas ar priešiškas elgesys prieš skundą padavusį darbuotoją laikomas darbo pareigų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pažeidimu, už kurį gali būti taikoma teisės aktuose numatyta atsakomybė.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27. Darbuotojai ar kandidatai į laisvas darbo vietas, kurie mano, kad jų lygios galimybės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pažeidžiamos ar jie yra diskriminuojami, turi teisę kreiptis į Mokyklos direktorių ir nurodyti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asmenį, kuris galimai pažeidžia darbuotojo teises ar jį diskriminuoja.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28. Mokyklos direktorius, gavęs darbuotojo ar kandidato į laisvą darbo vietą skundą dėl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lygių galimybių pažeidimo ar diskriminacijos, tokį skundą nedelsdamas perduoda nagrinėti Lygių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galimybių kontrolieriaus tarnybai ar kitai kompetentingai institucijai. Informacija apie tokį skundą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laikoma konfidencialia ir negali būti paviešinta asmenims, kurie nėra susiję su galimu pažeidimu ar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jo tyrimu.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29. Mokykla galimo pažeidimo tyrimo metu bendradarbiauja su tyrimą atliekančiomis</w:t>
      </w:r>
      <w:r w:rsidR="004026D2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institucijomis, teikia visą turimą informaciją, kuri yra reikšminga galimam pažeidimui ištirti.</w:t>
      </w:r>
    </w:p>
    <w:p w:rsidR="00D47B3D" w:rsidRPr="00B205E9" w:rsidRDefault="00D47B3D" w:rsidP="004026D2">
      <w:pPr>
        <w:jc w:val="center"/>
        <w:rPr>
          <w:b/>
          <w:sz w:val="24"/>
          <w:szCs w:val="24"/>
        </w:rPr>
      </w:pPr>
      <w:r w:rsidRPr="00B205E9">
        <w:rPr>
          <w:b/>
          <w:sz w:val="24"/>
          <w:szCs w:val="24"/>
        </w:rPr>
        <w:t>VI. SKYRIUS</w:t>
      </w:r>
    </w:p>
    <w:p w:rsidR="00D47B3D" w:rsidRPr="00B205E9" w:rsidRDefault="00D47B3D" w:rsidP="004026D2">
      <w:pPr>
        <w:jc w:val="center"/>
        <w:rPr>
          <w:b/>
          <w:sz w:val="24"/>
          <w:szCs w:val="24"/>
        </w:rPr>
      </w:pPr>
      <w:r w:rsidRPr="00B205E9">
        <w:rPr>
          <w:b/>
          <w:sz w:val="24"/>
          <w:szCs w:val="24"/>
        </w:rPr>
        <w:t>BAIGIAMOSIOS NUOSTATOS</w:t>
      </w:r>
    </w:p>
    <w:p w:rsidR="00D47B3D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30. Šis Aprašas yra peržiūrimas ir, jei reikia, atnaujinamas pasikeitus šios politikos</w:t>
      </w:r>
      <w:r w:rsidR="00B205E9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reguliavimo srities teisės aktams.</w:t>
      </w:r>
    </w:p>
    <w:p w:rsidR="0052151E" w:rsidRPr="00B205E9" w:rsidRDefault="00D47B3D" w:rsidP="00D47B3D">
      <w:pPr>
        <w:rPr>
          <w:sz w:val="24"/>
          <w:szCs w:val="24"/>
        </w:rPr>
      </w:pPr>
      <w:r w:rsidRPr="00B205E9">
        <w:rPr>
          <w:sz w:val="24"/>
          <w:szCs w:val="24"/>
        </w:rPr>
        <w:t>31. Darbuotojai su šiuo Aprašu supažindinami pasirašytinai ir laikosi jame nustatytų</w:t>
      </w:r>
      <w:r w:rsidR="00B205E9" w:rsidRPr="00B205E9">
        <w:rPr>
          <w:sz w:val="24"/>
          <w:szCs w:val="24"/>
        </w:rPr>
        <w:t xml:space="preserve"> </w:t>
      </w:r>
      <w:r w:rsidRPr="00B205E9">
        <w:rPr>
          <w:sz w:val="24"/>
          <w:szCs w:val="24"/>
        </w:rPr>
        <w:t>įpareigojimų bei atlikdami savo darbo funkcijas vadovaujasi nustatytais principais.</w:t>
      </w:r>
    </w:p>
    <w:p w:rsidR="00B205E9" w:rsidRDefault="00B205E9" w:rsidP="00D47B3D">
      <w:pPr>
        <w:rPr>
          <w:sz w:val="24"/>
          <w:szCs w:val="24"/>
        </w:rPr>
      </w:pPr>
    </w:p>
    <w:p w:rsidR="00B205E9" w:rsidRDefault="00B205E9" w:rsidP="00D47B3D">
      <w:pPr>
        <w:rPr>
          <w:sz w:val="24"/>
          <w:szCs w:val="24"/>
        </w:rPr>
      </w:pPr>
      <w:r>
        <w:rPr>
          <w:sz w:val="24"/>
          <w:szCs w:val="24"/>
        </w:rPr>
        <w:t>SUDERINTA</w:t>
      </w:r>
    </w:p>
    <w:p w:rsidR="00B205E9" w:rsidRDefault="00B205E9" w:rsidP="00D47B3D">
      <w:pPr>
        <w:rPr>
          <w:sz w:val="24"/>
          <w:szCs w:val="24"/>
        </w:rPr>
      </w:pPr>
      <w:r>
        <w:rPr>
          <w:sz w:val="24"/>
          <w:szCs w:val="24"/>
        </w:rPr>
        <w:t>Gimnazijos direkcijos posėdyje</w:t>
      </w:r>
    </w:p>
    <w:p w:rsidR="00B205E9" w:rsidRPr="00B205E9" w:rsidRDefault="00B205E9" w:rsidP="00D47B3D">
      <w:pPr>
        <w:rPr>
          <w:sz w:val="24"/>
          <w:szCs w:val="24"/>
        </w:rPr>
      </w:pPr>
      <w:r>
        <w:rPr>
          <w:sz w:val="24"/>
          <w:szCs w:val="24"/>
        </w:rPr>
        <w:t>2021-04-06</w:t>
      </w:r>
    </w:p>
    <w:sectPr w:rsidR="00B205E9" w:rsidRPr="00B205E9" w:rsidSect="00B205E9">
      <w:pgSz w:w="11906" w:h="16838"/>
      <w:pgMar w:top="993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FD"/>
    <w:rsid w:val="001335D1"/>
    <w:rsid w:val="004026D2"/>
    <w:rsid w:val="004F6A5D"/>
    <w:rsid w:val="00B205E9"/>
    <w:rsid w:val="00D47B3D"/>
    <w:rsid w:val="00E876FD"/>
    <w:rsid w:val="00ED5A0D"/>
    <w:rsid w:val="00F3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8203</Words>
  <Characters>4677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Direktores</dc:creator>
  <cp:keywords/>
  <dc:description/>
  <cp:lastModifiedBy>Direktores</cp:lastModifiedBy>
  <cp:revision>6</cp:revision>
  <dcterms:created xsi:type="dcterms:W3CDTF">2021-04-01T06:13:00Z</dcterms:created>
  <dcterms:modified xsi:type="dcterms:W3CDTF">2021-04-09T08:19:00Z</dcterms:modified>
</cp:coreProperties>
</file>